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459649AF" w14:textId="769D75BE" w:rsidR="00210BEA" w:rsidRDefault="00210BEA" w:rsidP="00210BE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EDITAL DE </w:t>
      </w:r>
      <w:r>
        <w:rPr>
          <w:rFonts w:ascii="Arial" w:hAnsi="Arial" w:cs="Arial"/>
          <w:b/>
          <w:sz w:val="24"/>
          <w:szCs w:val="24"/>
        </w:rPr>
        <w:t>AVISO DE DISPENSA Nº 00</w:t>
      </w:r>
      <w:r w:rsidR="00BF43B9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>/2025</w:t>
      </w:r>
    </w:p>
    <w:p w14:paraId="3195951E" w14:textId="49F6993B" w:rsidR="00210BEA" w:rsidRDefault="00210BEA" w:rsidP="00210BE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PROCESSO ADMINISTRATIVO 00</w:t>
      </w:r>
      <w:r w:rsidR="00BF43B9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>/2025</w:t>
      </w:r>
    </w:p>
    <w:p w14:paraId="528671DF" w14:textId="77777777" w:rsidR="00210BEA" w:rsidRDefault="00210BEA" w:rsidP="00210BEA">
      <w:pPr>
        <w:rPr>
          <w:rFonts w:ascii="Arial" w:hAnsi="Arial" w:cs="Arial"/>
          <w:b/>
          <w:sz w:val="24"/>
          <w:szCs w:val="24"/>
        </w:rPr>
      </w:pPr>
    </w:p>
    <w:p w14:paraId="0ACB46EA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Torna-se público que a CÂMARA MUNICIPAL DE LASSANCE, por meio do SETOR DE COMPRAS E LICITAÇÃO, realizará Dispensa Presencial, com critério de julgamento </w:t>
      </w:r>
      <w:r>
        <w:rPr>
          <w:rFonts w:ascii="Arial" w:hAnsi="Arial" w:cs="Arial"/>
          <w:b/>
          <w:sz w:val="24"/>
          <w:szCs w:val="24"/>
        </w:rPr>
        <w:t>menor preço por item</w:t>
      </w:r>
      <w:r>
        <w:rPr>
          <w:rFonts w:ascii="Arial" w:hAnsi="Arial" w:cs="Arial"/>
          <w:sz w:val="24"/>
          <w:szCs w:val="24"/>
        </w:rPr>
        <w:t xml:space="preserve">, na hipótese do art. 75, inciso II, nos termos da Lei nº 14.133, de 1º de abril de 2021, da </w:t>
      </w:r>
      <w:bookmarkStart w:id="0" w:name="_Hlk159225259"/>
      <w:r>
        <w:rPr>
          <w:rFonts w:ascii="Arial" w:hAnsi="Arial" w:cs="Arial"/>
          <w:sz w:val="24"/>
          <w:szCs w:val="24"/>
        </w:rPr>
        <w:t xml:space="preserve">Resolução nº 01/2023 </w:t>
      </w:r>
      <w:bookmarkEnd w:id="0"/>
      <w:r>
        <w:rPr>
          <w:rFonts w:ascii="Arial" w:hAnsi="Arial" w:cs="Arial"/>
          <w:sz w:val="24"/>
          <w:szCs w:val="24"/>
        </w:rPr>
        <w:t xml:space="preserve">e demais legislação aplicável.  </w:t>
      </w:r>
    </w:p>
    <w:p w14:paraId="336C3CC0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envio das propostas e documentos referentes à habilitação para esta Dispensa será realizado exclusivamente por e-mail, sendo ele o: </w:t>
      </w:r>
      <w:bookmarkStart w:id="1" w:name="_Hlk157065198"/>
      <w:r>
        <w:rPr>
          <w:rFonts w:ascii="Arial" w:hAnsi="Arial" w:cs="Arial"/>
          <w:color w:val="548DD4" w:themeColor="text2" w:themeTint="99"/>
          <w:sz w:val="24"/>
          <w:szCs w:val="24"/>
        </w:rPr>
        <w:t>compraslicitacamaradelassance@gmail.com</w:t>
      </w:r>
      <w:r>
        <w:rPr>
          <w:rFonts w:ascii="Arial" w:hAnsi="Arial" w:cs="Arial"/>
          <w:sz w:val="24"/>
          <w:szCs w:val="24"/>
        </w:rPr>
        <w:t xml:space="preserve">. </w:t>
      </w:r>
      <w:bookmarkEnd w:id="1"/>
      <w:r>
        <w:rPr>
          <w:rFonts w:ascii="Arial" w:hAnsi="Arial" w:cs="Arial"/>
          <w:sz w:val="24"/>
          <w:szCs w:val="24"/>
        </w:rPr>
        <w:t>As propostas, assim como os documentos de habilitação deverão ser inseridas no e-mail nos horários indicados a seguir:</w:t>
      </w:r>
    </w:p>
    <w:p w14:paraId="5A635F00" w14:textId="1FB1560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1 – Data e hora de início do recebimento da proposta: 8:00 (oito) horas do dia </w:t>
      </w:r>
      <w:r w:rsidR="00AC286D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 xml:space="preserve">/01/2025; </w:t>
      </w:r>
    </w:p>
    <w:p w14:paraId="31406741" w14:textId="59D683D9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– Data e hora de término do recebimento de proposta:</w:t>
      </w:r>
      <w:r w:rsidR="00AC286D">
        <w:rPr>
          <w:rFonts w:ascii="Arial" w:hAnsi="Arial" w:cs="Arial"/>
          <w:sz w:val="24"/>
          <w:szCs w:val="24"/>
        </w:rPr>
        <w:t>22</w:t>
      </w:r>
      <w:r>
        <w:rPr>
          <w:rFonts w:ascii="Arial" w:hAnsi="Arial" w:cs="Arial"/>
          <w:sz w:val="24"/>
          <w:szCs w:val="24"/>
        </w:rPr>
        <w:t xml:space="preserve"> /01/2025 às 11:59 horas;</w:t>
      </w:r>
    </w:p>
    <w:p w14:paraId="0EC603CE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3 – A solicitação de esclarecimento de dúvidas a respeito das condições deste Aviso de Contratação Direta e de outros assuntos relacionados à presente Dispensa de licitação deverá ser efetuada pelas empresas interessadas em participar do certame, por e-mail, sendo ele o: </w:t>
      </w:r>
      <w:r>
        <w:rPr>
          <w:rFonts w:ascii="Arial" w:hAnsi="Arial" w:cs="Arial"/>
          <w:color w:val="548DD4" w:themeColor="text2" w:themeTint="99"/>
          <w:sz w:val="24"/>
          <w:szCs w:val="24"/>
        </w:rPr>
        <w:t>compraslicitacamaradelassance@gmail.com</w:t>
      </w:r>
      <w:r>
        <w:rPr>
          <w:rFonts w:ascii="Arial" w:hAnsi="Arial" w:cs="Arial"/>
          <w:sz w:val="24"/>
          <w:szCs w:val="24"/>
        </w:rPr>
        <w:t>, ou presencialmente na sala do setor de compras/licitações na sede da Câmara Municipal de Lassance, em até 48h antes do término do recebimento de proposta.</w:t>
      </w:r>
    </w:p>
    <w:p w14:paraId="5D8CAB7C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OBJETO DA CONTRATAÇÃO DIRETA</w:t>
      </w:r>
    </w:p>
    <w:p w14:paraId="789B8FFB" w14:textId="6718E7A8" w:rsidR="00210BEA" w:rsidRDefault="00210BEA" w:rsidP="00210BE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1.1. O objeto da presente dispensa é </w:t>
      </w:r>
      <w:r>
        <w:rPr>
          <w:rFonts w:ascii="Arial" w:hAnsi="Arial" w:cs="Arial"/>
          <w:b/>
          <w:sz w:val="24"/>
          <w:szCs w:val="24"/>
        </w:rPr>
        <w:t xml:space="preserve">CONTRATAÇÃO DE EMPRESA PARA FORNECIMENTO DE </w:t>
      </w:r>
      <w:r w:rsidR="00AC286D">
        <w:rPr>
          <w:rFonts w:ascii="Arial" w:hAnsi="Arial" w:cs="Arial"/>
          <w:b/>
          <w:sz w:val="24"/>
          <w:szCs w:val="24"/>
        </w:rPr>
        <w:t xml:space="preserve">LANCHES, DESTINADOS AS NECESSIDADES DA </w:t>
      </w:r>
      <w:r>
        <w:rPr>
          <w:rFonts w:ascii="Arial" w:hAnsi="Arial" w:cs="Arial"/>
          <w:b/>
          <w:sz w:val="24"/>
          <w:szCs w:val="24"/>
        </w:rPr>
        <w:t>CÂMARA MUNICIPAL DE LASSANCE.</w:t>
      </w:r>
    </w:p>
    <w:p w14:paraId="02EF8B85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1.2. A contratação ocorrerá por item, conforme tabela constante no anexo II, Planilha Orçamentaria. </w:t>
      </w:r>
    </w:p>
    <w:p w14:paraId="3AC82032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1.3. O critério de julgamento adotado será o MENOR PREÇO POR ITEM, observadas as exigências contidas neste Aviso de Contratação Direta e seus Anexos quanto às especificações do objeto. </w:t>
      </w:r>
    </w:p>
    <w:p w14:paraId="2A87DE75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PARTICIPAÇÃO NA DISPENSA PRESENCIAL. </w:t>
      </w:r>
    </w:p>
    <w:p w14:paraId="396DF324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2.1. Poderão participar da presente contratação direta os interessados cujo ramo de atividade seja compatível com o objeto desta Dispensa de Licitação.</w:t>
      </w:r>
    </w:p>
    <w:p w14:paraId="4A156E3D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2.1.1. O fornecedor é o responsável por qualquer transação efetuada diretamente ou por seu representante no e-mail supracitado, não cabendo ao órgão entidade promotor do procedimento a responsabilidade por eventuais danos decorrentes no envio da proposta ou habilitação da empresa participante do certame, ainda que por terceiros não autorizados. </w:t>
      </w:r>
    </w:p>
    <w:p w14:paraId="333302E9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2.1.2. Após o envio desse e-mail, o órgão realizador do certame respondera este mesmo e-mail validando sua participação.</w:t>
      </w:r>
    </w:p>
    <w:p w14:paraId="47037BF0" w14:textId="4FF8CD65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INGRESSO NA DISPENSAL. </w:t>
      </w:r>
    </w:p>
    <w:p w14:paraId="6BB6711D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3.1. O fornecedor interessado, após a divulgação do aviso de contratação direta, encaminhará, exclusivamente para o e-mail </w:t>
      </w:r>
      <w:proofErr w:type="gramStart"/>
      <w:r>
        <w:rPr>
          <w:rFonts w:ascii="Arial" w:hAnsi="Arial" w:cs="Arial"/>
          <w:sz w:val="24"/>
          <w:szCs w:val="24"/>
        </w:rPr>
        <w:t xml:space="preserve">“ </w:t>
      </w:r>
      <w:r>
        <w:rPr>
          <w:rFonts w:ascii="Arial" w:hAnsi="Arial" w:cs="Arial"/>
          <w:color w:val="365F91" w:themeColor="accent1" w:themeShade="BF"/>
          <w:sz w:val="24"/>
          <w:szCs w:val="24"/>
        </w:rPr>
        <w:t>compraslicitacamaradelassance@gmail.com</w:t>
      </w:r>
      <w:proofErr w:type="gramEnd"/>
      <w:r>
        <w:rPr>
          <w:rFonts w:ascii="Arial" w:hAnsi="Arial" w:cs="Arial"/>
          <w:color w:val="365F91" w:themeColor="accent1" w:themeShade="BF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” , a proposta com a descrição do objeto ofertado, a marca do produto, quando for o caso, e o preço, até a data e o horário estabelecidos para Data e hora de término do recebimento de proposta. </w:t>
      </w:r>
    </w:p>
    <w:p w14:paraId="511E57F3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3.2. Nos valores propostos estarão inclusos todos os custos operacionais, encargos previdenciários, trabalhistas, tributários, comerciais e quaisquer outros que incidam direta ou indiretamente na prestação dos serviços; </w:t>
      </w:r>
    </w:p>
    <w:p w14:paraId="1420ED35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3.2.1. Os preços ofertados, na proposta, serão de exclusiva responsabilidade do fornecedor, não lhe assistindo o direito de pleitear qualquer alteração, sob alegação de erro, omissão ou qualquer outro pretexto. </w:t>
      </w:r>
    </w:p>
    <w:p w14:paraId="4E38BB42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3.2.2. Proposta elaborada em consonância com as especificações constantes deste instrumento e seus elementos – Anexo II –, em papel timbrado da empresa, quando for o caso, assinada por seu representante legal, contendo no correspondente item cotado: discriminação, marca e/ou modelo e outras características se necessário, quantidade e valores unitário e total expressos.</w:t>
      </w:r>
    </w:p>
    <w:p w14:paraId="7174A4DF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3.3. Junto com a proposta, o fornecedor deverá, também, apresentar às seguintes declarações: </w:t>
      </w:r>
    </w:p>
    <w:p w14:paraId="22E5ED4F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3.3.1. que inexistem fatos impeditivos para sua habilitação no certame, ciente da obrigatoriedade de declarar ocorrências posteriores;</w:t>
      </w:r>
    </w:p>
    <w:p w14:paraId="69CDB18F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3.3.2. que cumpre os requisitos estabelecidos no artigo 3° da Lei Complementar nº 123, de 2006, estando apto a usufruir do tratamento favorecido estabelecido em seus Artigos. 42 a 49.</w:t>
      </w:r>
    </w:p>
    <w:p w14:paraId="1321AE31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3.3.3. que está ciente e concorda com as condições contidas no Aviso de Contratação Direta; </w:t>
      </w:r>
    </w:p>
    <w:p w14:paraId="0E244F37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3.3.4. que assume a responsabilidade pelas transações que forem efetuadas no sistema, assumindo como firmes e verdadeiras; </w:t>
      </w:r>
    </w:p>
    <w:p w14:paraId="21FFBA6A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3.3.5. que não emprega menor de 18 anos em trabalho noturno, perigoso ou insalubre e não emprega menor de 16 anos, salvo menor, a partir de 14 anos, na condição de aprendiz, nos termos do artigo 7°, XXXIII, da Constituição</w:t>
      </w:r>
    </w:p>
    <w:p w14:paraId="6A9F2848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JULGAMENTO DAS PROPOSTAS DE PREÇO.</w:t>
      </w:r>
    </w:p>
    <w:p w14:paraId="76D93FB3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4.1. Será cotado um único preço para cada item, com a utilização de duas casas decimais. Indicação em contrário está sujeita a correção observando–se os seguintes critérios: </w:t>
      </w:r>
    </w:p>
    <w:p w14:paraId="076DA54D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4.2. Falta de dígitos: serão acrescidos zeros; </w:t>
      </w:r>
    </w:p>
    <w:p w14:paraId="146B2469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4.3. Excesso de dígitos: sendo o primeiro dígito excedente menor que 5, todo o excesso será suprimido, caso contrário haverá o arredondamento do dígito anterior para mais e os demais itens excedentes suprimidos.</w:t>
      </w:r>
    </w:p>
    <w:p w14:paraId="6D6094C7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4.4. A quantidade mínima de unidades a ser cotada, por item, não deverá ser inferior a 100% da estimativa detalhada no – Anexo II. Disposição em contrário não desclassifica automaticamente a proposta apenas o respectivo item será desconsiderado.</w:t>
      </w:r>
    </w:p>
    <w:p w14:paraId="2D387ED2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4.5. A Proposta deverá ser redigida em língua portuguesa e em moeda nacional, elaborada com clareza, sem alternativas, rasuras, emendas e/ou entrelinhas. Suas folhas rubricadas e a última datada e assinada pelo responsável, com indicação: do valor total da proposta em algarismos, dos prazos de entrega ou execução, das condições de pagamento, da sua validade que não poderá ser inferior a 30 dias, e outras informações e observações pertinentes que o licitante julgar necessárias. </w:t>
      </w:r>
    </w:p>
    <w:p w14:paraId="6B6600C0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4.6. Existindo discrepância entre o preço unitário e o valor total, resultado da multiplicação do preço unitário pela quantidade, o preço unitário prevalecerá. </w:t>
      </w:r>
    </w:p>
    <w:p w14:paraId="4337A403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4.7. Fica estabelecido que havendo divergência de preços unitários para um mesmo produto ou serviço, prevalecerá o de menor valor. </w:t>
      </w:r>
    </w:p>
    <w:p w14:paraId="489BCE0C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4.8. No caso de alterações necessárias da proposta pelo Agente de Contratação e sua Equipe de Apoio, decorrentes exclusivamente de incorreções na unidade de medida utilizada, observada a devida proporcionalidade, bem como na multiplicação e/ou soma de valores, prevalecerá o valor corrigido.</w:t>
      </w:r>
    </w:p>
    <w:p w14:paraId="1C3C7CBA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4.9. A não indicação na proposta dos prazos de entrega ou execução, das condições de pagamento ou de sua validade, ficará subentendido que o licitante aceitou integralmente as disposições do ato convocatório e, portanto, serão consideradas as determinações nele contidas para as referidas exigências não sendo suficiente motivo para a desclassificação da proposta.</w:t>
      </w:r>
    </w:p>
    <w:p w14:paraId="5789A14B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4.10. É facultado ao licitante, apresentar a proposta no próprio modelo fornecido pelo ORC, desde que esteja devidamente preenchido. </w:t>
      </w:r>
    </w:p>
    <w:p w14:paraId="55FD9D27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4.11. Em caso de fornecimento participante indicará a origem dos produtos ofertados. A eventual falta da referida indicação não desclassificará o licitante. </w:t>
      </w:r>
    </w:p>
    <w:p w14:paraId="7D82B203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4.12. Será desclassificada a proposta que deixar de atender as disposições deste instrumento. </w:t>
      </w:r>
    </w:p>
    <w:p w14:paraId="19F41CEC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4.13. Estando o preço compatível, será solicitado o envio da proposta e, se necessário, de documentos complementares. </w:t>
      </w:r>
    </w:p>
    <w:p w14:paraId="450638B7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4.14. O prazo de validade da proposta não será inferior a 30 (sessenta) dias, a contar da data de sua apresentação. </w:t>
      </w:r>
    </w:p>
    <w:p w14:paraId="1ABA9A0D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4.15. Se a proposta ou lance vencedor for desclassificado, será examinada a proposta ou lance subsequente, e, assim sucessivamente, na ordem de classificação. </w:t>
      </w:r>
    </w:p>
    <w:p w14:paraId="03B4A8D6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4.16. A análise quanto à aceitação da proposta, será conjunta a fase de habilitação, observado o disposto neste Aviso de Contratação Direta. </w:t>
      </w:r>
    </w:p>
    <w:p w14:paraId="44BDD17D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HABILITAÇÃO </w:t>
      </w:r>
    </w:p>
    <w:p w14:paraId="411A87A5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5.1. Os documentos a serem exigidos para fins de habilitação elencados a seguir serão solicitados do fornecedor mais bem classificado com sua proposta.</w:t>
      </w:r>
    </w:p>
    <w:p w14:paraId="31D2999D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5.2. Como condição prévia ao exame da documentação de habilitação do fornecedor detentor da proposta classificada em primeiro lugar, será verificado o eventual descumprimento das condições de participação, especialmente quanto à existência de sanção que impeça a participação no certame ou a futura contratação, mediante a consulta aos seguintes cadastros: </w:t>
      </w:r>
    </w:p>
    <w:p w14:paraId="775BD940" w14:textId="31089034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Cadastro Nacional de </w:t>
      </w:r>
      <w:r w:rsidR="003E6BC6">
        <w:rPr>
          <w:rFonts w:ascii="Arial" w:hAnsi="Arial" w:cs="Arial"/>
          <w:sz w:val="24"/>
          <w:szCs w:val="24"/>
        </w:rPr>
        <w:t>Pessoa Jurídica (CNPJ)</w:t>
      </w:r>
      <w:r>
        <w:rPr>
          <w:rFonts w:ascii="Arial" w:hAnsi="Arial" w:cs="Arial"/>
          <w:sz w:val="24"/>
          <w:szCs w:val="24"/>
        </w:rPr>
        <w:t xml:space="preserve"> (</w:t>
      </w:r>
      <w:hyperlink r:id="rId8" w:history="1">
        <w:r>
          <w:rPr>
            <w:rStyle w:val="Hyperlink"/>
            <w:rFonts w:ascii="Arial" w:hAnsi="Arial" w:cs="Arial"/>
            <w:sz w:val="24"/>
            <w:szCs w:val="24"/>
          </w:rPr>
          <w:t>www.portaldatransparencia.gov.br/ceis</w:t>
        </w:r>
      </w:hyperlink>
      <w:r>
        <w:rPr>
          <w:rFonts w:ascii="Arial" w:hAnsi="Arial" w:cs="Arial"/>
          <w:sz w:val="24"/>
          <w:szCs w:val="24"/>
        </w:rPr>
        <w:t>);</w:t>
      </w:r>
    </w:p>
    <w:p w14:paraId="19AA5574" w14:textId="680B32DB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</w:t>
      </w:r>
      <w:r w:rsidR="003E6BC6">
        <w:rPr>
          <w:rFonts w:ascii="Arial" w:hAnsi="Arial" w:cs="Arial"/>
          <w:sz w:val="24"/>
          <w:szCs w:val="24"/>
        </w:rPr>
        <w:t>Certificado de Regularidade do FGTS</w:t>
      </w:r>
    </w:p>
    <w:p w14:paraId="369CF784" w14:textId="12392870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c) </w:t>
      </w:r>
      <w:r w:rsidR="003E6BC6">
        <w:rPr>
          <w:rFonts w:ascii="Arial" w:hAnsi="Arial" w:cs="Arial"/>
          <w:sz w:val="24"/>
          <w:szCs w:val="24"/>
        </w:rPr>
        <w:t>Certidão Negativa de Débitos relacionados aos tributos federais (CND FEDERAL) e CND Trabalhista.</w:t>
      </w:r>
    </w:p>
    <w:p w14:paraId="619CE664" w14:textId="0B28E616" w:rsidR="003E6BC6" w:rsidRDefault="003E6BC6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 Certidão Municipal</w:t>
      </w:r>
    </w:p>
    <w:p w14:paraId="3ED05B85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5.2.1. Para a consulta de fornecedores pessoa jurídica poderá haver a substitui o das consultas das alíneas “a”, “b” e “c” acima pela Consulta Consolidada de Pessoa Jurídica do TCU (https://certidoesapf.apps.tcu.gov.br/), Acórdão nº 1793/2011-Plenário. </w:t>
      </w:r>
    </w:p>
    <w:p w14:paraId="5A53CB9D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5.2.2. A consulta aos cadastros será realizada em nome da empresa fornecedora e também de seu sócio majoritário, por força do artigo 12 da Lei n° 8.429, de 1992. </w:t>
      </w:r>
    </w:p>
    <w:p w14:paraId="5BB73F1E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5.2.2.1. Caso conste na Consulta de Situação do Fornecedor a existência de Ocorrências Impeditivas Indiretas, o gestor diligenciará para verificar se houve fraude por parte das empresas apontadas no Relatório de Ocorrências Impeditivas Indiretas. </w:t>
      </w:r>
    </w:p>
    <w:p w14:paraId="1FFD501F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5.2.2.1.1. A tentativa de burla será verificada por meio dos vínculos societários, linhas de fornecimento similares, dentre outros. </w:t>
      </w:r>
    </w:p>
    <w:p w14:paraId="53F77028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5.2.2.1.2. O fornecedor será convocado para manifestação previamente à sua desclassificação.</w:t>
      </w:r>
    </w:p>
    <w:p w14:paraId="56967F87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5.2.3. Constatada a existência de sanção, o fornecedor será reputado inabilitado, por falta de condição de participação. </w:t>
      </w:r>
    </w:p>
    <w:p w14:paraId="66A74571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5.3. HABILITAÇÃO JURÍDICA: </w:t>
      </w:r>
    </w:p>
    <w:p w14:paraId="3A1FF35E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5.3.1. No caso de empresário individual, inscrição no Registro Público de Empresas Mercantis, a cargo da Junta Comercial da respectiva sede; </w:t>
      </w:r>
    </w:p>
    <w:p w14:paraId="76C82587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5.3.2. Em se tratando de Microempreendedor Individual – MEI: Certificado da Condição de Microempreendedor Individual - CCMEI, cuja aceitação ficará condicionada à verificação da autenticidade no sítio </w:t>
      </w:r>
      <w:hyperlink r:id="rId9" w:history="1">
        <w:r>
          <w:rPr>
            <w:rStyle w:val="Hyperlink"/>
            <w:rFonts w:ascii="Arial" w:hAnsi="Arial" w:cs="Arial"/>
            <w:sz w:val="24"/>
            <w:szCs w:val="24"/>
          </w:rPr>
          <w:t>www.portaldoempreendedor.gov.br</w:t>
        </w:r>
      </w:hyperlink>
      <w:r>
        <w:rPr>
          <w:rFonts w:ascii="Arial" w:hAnsi="Arial" w:cs="Arial"/>
          <w:sz w:val="24"/>
          <w:szCs w:val="24"/>
        </w:rPr>
        <w:t xml:space="preserve">; </w:t>
      </w:r>
    </w:p>
    <w:p w14:paraId="775497B6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5.3.3. No caso de sociedade empresária ou empresa individual de responsabilidade limitada - EIRELI: ato constitutivo, estatuto ou contrato social em vigor, devidamente registrado na Junta Comercial da respectiva sede, acompanhado de documento comprobatório de seus administradores; </w:t>
      </w:r>
    </w:p>
    <w:p w14:paraId="034D2213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5.3.4. Inscrição no Registro Público de Empresas Mercantis onde opera, com averbação no Registro onde tem sede a matriz, no caso de ser o participante sucursal, filial ou agência; </w:t>
      </w:r>
    </w:p>
    <w:p w14:paraId="4120D73E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5.3.5. No caso de sociedade simples: inscrição do ato constitutivo no Registro Civil das Pessoas Jurídicas do local de sua sede, acompanhada de prova da indicação dos seus administradores; </w:t>
      </w:r>
    </w:p>
    <w:p w14:paraId="23EE430A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5.3.6. Decreto de autorização, em se tratando de sociedade empresária estrangeira em funcionamento no País; </w:t>
      </w:r>
    </w:p>
    <w:p w14:paraId="068E9520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5.3.7. Os documentos acima deverão estar acompanhados de todas as alterações ou da consolidação respectiva. </w:t>
      </w:r>
    </w:p>
    <w:p w14:paraId="26FBB2D6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5.4. REGULARIDADE FISCAL, SOCIAL E TRABALHISTA: </w:t>
      </w:r>
    </w:p>
    <w:p w14:paraId="210876CA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5.4.1. prova de inscrição no Cadastro Nacional de Pessoas Jurídicas ou no Cadastro de Pessoas Físicas, conforme o caso; </w:t>
      </w:r>
    </w:p>
    <w:p w14:paraId="141FFECD" w14:textId="659379D1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5.4.</w:t>
      </w:r>
      <w:r w:rsidR="00BF43B9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. prova de regularidade com o Fundo de Garantia do Tempo de Serviço (FGTS); </w:t>
      </w:r>
    </w:p>
    <w:p w14:paraId="5D6B9BAF" w14:textId="2AC3A9A5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5.4.</w:t>
      </w:r>
      <w:r w:rsidR="00BF43B9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. prova de inscrição no cadastro de contribuintes estadual e/ou municipal, relativo ao domicílio ou sede do fornecedor, pertinente ao seu ramo de atividade e compatível com o objeto contratual; </w:t>
      </w:r>
    </w:p>
    <w:p w14:paraId="04407167" w14:textId="2592B5AC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5.4.</w:t>
      </w:r>
      <w:r w:rsidR="00BF43B9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. prova de regularidade com a Fazenda Estadual do domicílio ou sede do fornecedor, relativa à atividade em cujo exercício contrata ou concorre; </w:t>
      </w:r>
    </w:p>
    <w:p w14:paraId="374B3451" w14:textId="0C98F703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5.4.</w:t>
      </w:r>
      <w:r w:rsidR="00BF43B9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. prova de regularidade com a Fazenda Municipal do domicílio ou sede do fornecedor, relativa à atividade em cujo exercício contrata ou concorre; </w:t>
      </w:r>
    </w:p>
    <w:p w14:paraId="5B22CE3B" w14:textId="6DF62356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5.4</w:t>
      </w:r>
      <w:r w:rsidR="00BF43B9">
        <w:rPr>
          <w:rFonts w:ascii="Arial" w:hAnsi="Arial" w:cs="Arial"/>
          <w:sz w:val="24"/>
          <w:szCs w:val="24"/>
        </w:rPr>
        <w:t>.6</w:t>
      </w:r>
      <w:r>
        <w:rPr>
          <w:rFonts w:ascii="Arial" w:hAnsi="Arial" w:cs="Arial"/>
          <w:sz w:val="24"/>
          <w:szCs w:val="24"/>
        </w:rPr>
        <w:t xml:space="preserve">. caso o fornecedor seja considerado isento dos tributos estaduais ou municipais relacionados ao objeto contratual, deverá comprovar tal condição mediante a apresentação de declaração da Fazenda respectiva do seu domicílio ou sede, ou outra equivalente, na forma da lei; </w:t>
      </w:r>
    </w:p>
    <w:p w14:paraId="03028087" w14:textId="361CC1BE" w:rsidR="00210BEA" w:rsidRDefault="003502BF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210BEA">
        <w:rPr>
          <w:rFonts w:ascii="Arial" w:hAnsi="Arial" w:cs="Arial"/>
          <w:sz w:val="24"/>
          <w:szCs w:val="24"/>
        </w:rPr>
        <w:t xml:space="preserve">. DO CONTRATO </w:t>
      </w:r>
    </w:p>
    <w:p w14:paraId="12097B69" w14:textId="5230BA29" w:rsidR="00210BEA" w:rsidRDefault="003502BF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210BEA">
        <w:rPr>
          <w:rFonts w:ascii="Arial" w:hAnsi="Arial" w:cs="Arial"/>
          <w:sz w:val="24"/>
          <w:szCs w:val="24"/>
        </w:rPr>
        <w:t xml:space="preserve">.1. Após a Adjudicação e Homologação, caso se conclua pela contratação, será elaborado o contrato ou emitido instrumento equivalente. </w:t>
      </w:r>
    </w:p>
    <w:p w14:paraId="10D01FC0" w14:textId="0E4560B5" w:rsidR="00210BEA" w:rsidRDefault="003502BF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210BEA">
        <w:rPr>
          <w:rFonts w:ascii="Arial" w:hAnsi="Arial" w:cs="Arial"/>
          <w:sz w:val="24"/>
          <w:szCs w:val="24"/>
        </w:rPr>
        <w:t xml:space="preserve">.2. O adjudicatário terá o prazo de 03 (três) dias úteis, contados a partir da data de sua convocação, para assinar o contrato ou aceitar instrumento equivalente, conforme o caso (Nota de Empenho/Carta Contrato/Autorização), sob pena de decair do direito à contratação, sem prejuízo das sanções previstas neste Aviso de Contratação Direta. </w:t>
      </w:r>
    </w:p>
    <w:p w14:paraId="1B5EC080" w14:textId="7076963D" w:rsidR="00210BEA" w:rsidRDefault="003502BF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210BEA">
        <w:rPr>
          <w:rFonts w:ascii="Arial" w:hAnsi="Arial" w:cs="Arial"/>
          <w:sz w:val="24"/>
          <w:szCs w:val="24"/>
        </w:rPr>
        <w:t xml:space="preserve">. SANÇÕES </w:t>
      </w:r>
    </w:p>
    <w:p w14:paraId="1D0BA75F" w14:textId="7C7D7C61" w:rsidR="00210BEA" w:rsidRDefault="003502BF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210BEA">
        <w:rPr>
          <w:rFonts w:ascii="Arial" w:hAnsi="Arial" w:cs="Arial"/>
          <w:sz w:val="24"/>
          <w:szCs w:val="24"/>
        </w:rPr>
        <w:t xml:space="preserve">.1. Comete infração administrativa o interessado que se enquadre nas previsões contidas no Art. 155, incisos IV, V, VI, VIII, IX, X, XII e XII da Lei Federal nº 14.133/2021. </w:t>
      </w:r>
    </w:p>
    <w:p w14:paraId="6320BC2E" w14:textId="6E64E5CD" w:rsidR="00210BEA" w:rsidRDefault="003502BF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210BEA">
        <w:rPr>
          <w:rFonts w:ascii="Arial" w:hAnsi="Arial" w:cs="Arial"/>
          <w:sz w:val="24"/>
          <w:szCs w:val="24"/>
        </w:rPr>
        <w:t xml:space="preserve">.1.1. Os interessados que incorrerem nas infrações previstas no item anterior, após o devido processo administrativo, estarão sujeitas às sanções previstas no Art. 156 da Lei Federal nº 14.133/2021. </w:t>
      </w:r>
    </w:p>
    <w:p w14:paraId="79E0144A" w14:textId="7C67E62D" w:rsidR="00210BEA" w:rsidRDefault="003502BF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210BEA">
        <w:rPr>
          <w:rFonts w:ascii="Arial" w:hAnsi="Arial" w:cs="Arial"/>
          <w:sz w:val="24"/>
          <w:szCs w:val="24"/>
        </w:rPr>
        <w:t>. DAS DISPOSIÇÕES GERAIS</w:t>
      </w:r>
    </w:p>
    <w:p w14:paraId="24774416" w14:textId="5DB819F6" w:rsidR="00210BEA" w:rsidRDefault="003502BF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210BEA">
        <w:rPr>
          <w:rFonts w:ascii="Arial" w:hAnsi="Arial" w:cs="Arial"/>
          <w:sz w:val="24"/>
          <w:szCs w:val="24"/>
        </w:rPr>
        <w:t xml:space="preserve">.1. O procedimento será divulgado no Site da Câmara Municipal de Lassance. </w:t>
      </w:r>
    </w:p>
    <w:p w14:paraId="0E7BB45F" w14:textId="0925C731" w:rsidR="00210BEA" w:rsidRDefault="003502BF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210BEA">
        <w:rPr>
          <w:rFonts w:ascii="Arial" w:hAnsi="Arial" w:cs="Arial"/>
          <w:sz w:val="24"/>
          <w:szCs w:val="24"/>
        </w:rPr>
        <w:t xml:space="preserve">.2. No caso de todos os fornecedores restarem desclassificados ou inabilitados (procedimento fracassado), a Administração poderá: </w:t>
      </w:r>
    </w:p>
    <w:p w14:paraId="3AC352B7" w14:textId="74CF87E5" w:rsidR="00210BEA" w:rsidRDefault="003502BF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210BEA">
        <w:rPr>
          <w:rFonts w:ascii="Arial" w:hAnsi="Arial" w:cs="Arial"/>
          <w:sz w:val="24"/>
          <w:szCs w:val="24"/>
        </w:rPr>
        <w:t xml:space="preserve">.2.1. Republicar o presente aviso com uma nova data; </w:t>
      </w:r>
    </w:p>
    <w:p w14:paraId="724904C7" w14:textId="27B4E307" w:rsidR="00210BEA" w:rsidRDefault="003502BF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210BEA">
        <w:rPr>
          <w:rFonts w:ascii="Arial" w:hAnsi="Arial" w:cs="Arial"/>
          <w:sz w:val="24"/>
          <w:szCs w:val="24"/>
        </w:rPr>
        <w:t xml:space="preserve">.2.2. Valer-se, para a contratação, de proposta obtida na pesquisa de preços que serviu de base ao procedimento, se houver, privilegiando-se os menores preços, sempre que possível, e desde que atendidas às condições de habilitação exigidas. </w:t>
      </w:r>
    </w:p>
    <w:p w14:paraId="76493F60" w14:textId="10FE1769" w:rsidR="00210BEA" w:rsidRDefault="003502BF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210BEA">
        <w:rPr>
          <w:rFonts w:ascii="Arial" w:hAnsi="Arial" w:cs="Arial"/>
          <w:sz w:val="24"/>
          <w:szCs w:val="24"/>
        </w:rPr>
        <w:t xml:space="preserve">.2.2.1. No caso do subitem anterior, a contratação será operacionalizada fora deste procedimento. </w:t>
      </w:r>
    </w:p>
    <w:p w14:paraId="73113417" w14:textId="472E47C0" w:rsidR="00210BEA" w:rsidRDefault="003502BF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8</w:t>
      </w:r>
      <w:r w:rsidR="00210BEA">
        <w:rPr>
          <w:rFonts w:ascii="Arial" w:hAnsi="Arial" w:cs="Arial"/>
          <w:sz w:val="24"/>
          <w:szCs w:val="24"/>
        </w:rPr>
        <w:t xml:space="preserve">.2.3. Fixar prazo para que possa haver adequação das propostas ou da documentação de habilitação, conforme o caso. </w:t>
      </w:r>
    </w:p>
    <w:p w14:paraId="76085E0C" w14:textId="2BBA0A41" w:rsidR="00210BEA" w:rsidRDefault="003502BF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210BEA">
        <w:rPr>
          <w:rFonts w:ascii="Arial" w:hAnsi="Arial" w:cs="Arial"/>
          <w:sz w:val="24"/>
          <w:szCs w:val="24"/>
        </w:rPr>
        <w:t xml:space="preserve">.3. Os horários estabelecidos na divulgação deste procedimento observarão o horário de Brasília-DF, inclusive para contagem de tempo e registro no Sistema e na documentação relativa ao procedimento. </w:t>
      </w:r>
    </w:p>
    <w:p w14:paraId="3A0CF0C4" w14:textId="7164A67B" w:rsidR="00210BEA" w:rsidRDefault="003502BF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210BEA">
        <w:rPr>
          <w:rFonts w:ascii="Arial" w:hAnsi="Arial" w:cs="Arial"/>
          <w:sz w:val="24"/>
          <w:szCs w:val="24"/>
        </w:rPr>
        <w:t xml:space="preserve">.4. No julgamento das propostas e da habilitação, a Administração poderá realizar diligências, com o intuito de sanar erros ou falhas que não alterem a substância das propostas, dos documentos e sua validade jurídica, mediante despacho fundamentado, registrado em ata e acessível a todos, atribuindo-lhes validade e eficácia para fins de habilitação e classificação, obedecendo à definição do Acórdão nº 1211/2021. </w:t>
      </w:r>
    </w:p>
    <w:p w14:paraId="1D7D532A" w14:textId="50D29E97" w:rsidR="00210BEA" w:rsidRDefault="003502BF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210BEA">
        <w:rPr>
          <w:rFonts w:ascii="Arial" w:hAnsi="Arial" w:cs="Arial"/>
          <w:sz w:val="24"/>
          <w:szCs w:val="24"/>
        </w:rPr>
        <w:t xml:space="preserve">.5. Integram este Aviso de Contratação Direta, para todos os fins e efeitos: </w:t>
      </w:r>
    </w:p>
    <w:p w14:paraId="6BEC426E" w14:textId="1219739B" w:rsidR="00210BEA" w:rsidRDefault="003502BF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210BEA">
        <w:rPr>
          <w:rFonts w:ascii="Arial" w:hAnsi="Arial" w:cs="Arial"/>
          <w:sz w:val="24"/>
          <w:szCs w:val="24"/>
        </w:rPr>
        <w:t xml:space="preserve">.5.1. ANEXO I – Formalização de Demanda; </w:t>
      </w:r>
    </w:p>
    <w:p w14:paraId="61BD5D6F" w14:textId="19B2AFE9" w:rsidR="00210BEA" w:rsidRDefault="003502BF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210BEA">
        <w:rPr>
          <w:rFonts w:ascii="Arial" w:hAnsi="Arial" w:cs="Arial"/>
          <w:sz w:val="24"/>
          <w:szCs w:val="24"/>
        </w:rPr>
        <w:t xml:space="preserve">.5.2. ANEXO II </w:t>
      </w:r>
      <w:r w:rsidR="00210BEA">
        <w:rPr>
          <w:rFonts w:ascii="Arial" w:hAnsi="Arial" w:cs="Arial"/>
          <w:sz w:val="24"/>
          <w:szCs w:val="24"/>
        </w:rPr>
        <w:softHyphen/>
        <w:t>– Planilha Orçamentaria;</w:t>
      </w:r>
    </w:p>
    <w:p w14:paraId="38B665AF" w14:textId="366742E6" w:rsidR="00210BEA" w:rsidRDefault="003502BF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210BEA">
        <w:rPr>
          <w:rFonts w:ascii="Arial" w:hAnsi="Arial" w:cs="Arial"/>
          <w:sz w:val="24"/>
          <w:szCs w:val="24"/>
        </w:rPr>
        <w:t xml:space="preserve">.5.3. ANEXO III – Minuta de Termo de Contrato; </w:t>
      </w:r>
    </w:p>
    <w:p w14:paraId="68C35D6B" w14:textId="77777777" w:rsidR="00210BEA" w:rsidRDefault="00210BEA" w:rsidP="00210BEA">
      <w:pPr>
        <w:jc w:val="both"/>
        <w:rPr>
          <w:rFonts w:ascii="Arial" w:hAnsi="Arial" w:cs="Arial"/>
          <w:b/>
          <w:sz w:val="24"/>
          <w:szCs w:val="24"/>
        </w:rPr>
      </w:pPr>
    </w:p>
    <w:p w14:paraId="29E3CA22" w14:textId="7A75B325" w:rsidR="00210BEA" w:rsidRDefault="00210BEA" w:rsidP="00210BE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Lassance, </w:t>
      </w:r>
      <w:r w:rsidR="003502BF">
        <w:rPr>
          <w:rFonts w:ascii="Arial" w:hAnsi="Arial" w:cs="Arial"/>
          <w:sz w:val="24"/>
          <w:szCs w:val="24"/>
        </w:rPr>
        <w:t>15</w:t>
      </w:r>
      <w:r>
        <w:rPr>
          <w:rFonts w:ascii="Arial" w:hAnsi="Arial" w:cs="Arial"/>
          <w:sz w:val="24"/>
          <w:szCs w:val="24"/>
        </w:rPr>
        <w:t xml:space="preserve"> de janeiro de 2025.</w:t>
      </w:r>
    </w:p>
    <w:p w14:paraId="5DD1AC61" w14:textId="77777777" w:rsidR="00210BEA" w:rsidRDefault="00210BEA" w:rsidP="00210BEA">
      <w:pPr>
        <w:rPr>
          <w:rFonts w:ascii="Arial" w:hAnsi="Arial" w:cs="Arial"/>
          <w:b/>
          <w:sz w:val="24"/>
          <w:szCs w:val="24"/>
        </w:rPr>
      </w:pPr>
    </w:p>
    <w:p w14:paraId="4FCEF87A" w14:textId="77777777" w:rsidR="00210BEA" w:rsidRDefault="00210BEA" w:rsidP="00210BEA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LUCIENE SOARES DOS SANTOS</w:t>
      </w:r>
    </w:p>
    <w:p w14:paraId="521F4818" w14:textId="77777777" w:rsidR="00210BEA" w:rsidRDefault="00210BEA" w:rsidP="00210BE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AGENTE DE CONTRATAÇÃO</w:t>
      </w:r>
    </w:p>
    <w:p w14:paraId="422B80BD" w14:textId="77777777" w:rsidR="000E50B7" w:rsidRPr="000E50B7" w:rsidRDefault="000E50B7" w:rsidP="000E50B7">
      <w:pPr>
        <w:suppressAutoHyphens/>
        <w:spacing w:after="0" w:line="240" w:lineRule="auto"/>
        <w:jc w:val="center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pt-BR"/>
        </w:rPr>
      </w:pPr>
    </w:p>
    <w:p w14:paraId="19F6BC63" w14:textId="77777777" w:rsidR="000E50B7" w:rsidRPr="000E50B7" w:rsidRDefault="000E50B7" w:rsidP="000E50B7">
      <w:pPr>
        <w:suppressAutoHyphens/>
        <w:spacing w:after="0" w:line="240" w:lineRule="auto"/>
        <w:jc w:val="center"/>
        <w:rPr>
          <w:rFonts w:ascii="Arial" w:eastAsiaTheme="minorEastAsia" w:hAnsi="Arial"/>
          <w:sz w:val="24"/>
          <w:szCs w:val="24"/>
          <w:lang w:eastAsia="pt-BR"/>
        </w:rPr>
      </w:pPr>
    </w:p>
    <w:p w14:paraId="29A5E0C2" w14:textId="77777777" w:rsidR="000E50B7" w:rsidRPr="000E50B7" w:rsidRDefault="000E50B7" w:rsidP="000E50B7">
      <w:pPr>
        <w:suppressAutoHyphens/>
        <w:spacing w:after="0" w:line="240" w:lineRule="auto"/>
        <w:jc w:val="both"/>
        <w:rPr>
          <w:rFonts w:ascii="Arial" w:eastAsiaTheme="minorEastAsia" w:hAnsi="Arial" w:cs="Arial"/>
          <w:b/>
          <w:bCs/>
          <w:color w:val="C9211E"/>
          <w:sz w:val="24"/>
          <w:szCs w:val="24"/>
          <w:lang w:eastAsia="pt-BR"/>
        </w:rPr>
      </w:pPr>
    </w:p>
    <w:p w14:paraId="61F5C05A" w14:textId="1DD1E6AD" w:rsidR="00E657AC" w:rsidRPr="00E657AC" w:rsidRDefault="00E657AC" w:rsidP="00E657AC">
      <w:pPr>
        <w:tabs>
          <w:tab w:val="left" w:pos="1425"/>
        </w:tabs>
      </w:pPr>
      <w:r>
        <w:tab/>
      </w:r>
    </w:p>
    <w:p w14:paraId="410CFEF2" w14:textId="77777777" w:rsidR="000B07DC" w:rsidRPr="00E657AC" w:rsidRDefault="000B07DC">
      <w:pPr>
        <w:tabs>
          <w:tab w:val="left" w:pos="1425"/>
        </w:tabs>
      </w:pPr>
    </w:p>
    <w:sectPr w:rsidR="000B07DC" w:rsidRPr="00E657AC" w:rsidSect="007056E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374" w:right="991" w:bottom="1417" w:left="993" w:header="85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9B85D6" w14:textId="77777777" w:rsidR="00A90AF9" w:rsidRDefault="00A90AF9" w:rsidP="00CA0814">
      <w:pPr>
        <w:spacing w:after="0" w:line="240" w:lineRule="auto"/>
      </w:pPr>
      <w:r>
        <w:separator/>
      </w:r>
    </w:p>
  </w:endnote>
  <w:endnote w:type="continuationSeparator" w:id="0">
    <w:p w14:paraId="6FAE9CCA" w14:textId="77777777" w:rsidR="00A90AF9" w:rsidRDefault="00A90AF9" w:rsidP="00CA0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FDE58" w14:textId="77777777" w:rsidR="00E45730" w:rsidRDefault="00E4573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6899C" w14:textId="77777777" w:rsidR="00714D05" w:rsidRDefault="00714D05" w:rsidP="00E45730">
    <w:pPr>
      <w:tabs>
        <w:tab w:val="center" w:pos="4252"/>
        <w:tab w:val="right" w:pos="8504"/>
      </w:tabs>
      <w:spacing w:after="0"/>
      <w:jc w:val="center"/>
    </w:pPr>
    <w:r>
      <w:t>Av.</w:t>
    </w:r>
    <w:r w:rsidR="00401E49" w:rsidRPr="005261C8">
      <w:t xml:space="preserve"> Nossa Senhora do Carmo, 365 – Centro – Lassance/MG CEP: 39.250-000</w:t>
    </w:r>
  </w:p>
  <w:p w14:paraId="18D9829D" w14:textId="3546D698" w:rsidR="00401E49" w:rsidRPr="005261C8" w:rsidRDefault="00401E49" w:rsidP="00E45730">
    <w:pPr>
      <w:tabs>
        <w:tab w:val="center" w:pos="4252"/>
        <w:tab w:val="right" w:pos="8504"/>
      </w:tabs>
      <w:spacing w:after="0"/>
      <w:jc w:val="center"/>
    </w:pPr>
    <w:r w:rsidRPr="005261C8">
      <w:t xml:space="preserve">Telefone: (38) 3759-1241 </w:t>
    </w:r>
    <w:r w:rsidR="00DA1BEE">
      <w:t>–</w:t>
    </w:r>
    <w:r w:rsidRPr="005261C8">
      <w:t xml:space="preserve"> E</w:t>
    </w:r>
    <w:r w:rsidR="00DA1BEE">
      <w:t>-</w:t>
    </w:r>
    <w:r w:rsidRPr="005261C8">
      <w:t>mail: camara</w:t>
    </w:r>
    <w:r>
      <w:t>de</w:t>
    </w:r>
    <w:r w:rsidRPr="005261C8">
      <w:t>lassance@gmail.com</w:t>
    </w:r>
  </w:p>
  <w:p w14:paraId="500C9F4C" w14:textId="77777777" w:rsidR="00CA0814" w:rsidRDefault="00CA0814" w:rsidP="00E45730">
    <w:pPr>
      <w:pStyle w:val="Rodap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4B268" w14:textId="77777777" w:rsidR="00E45730" w:rsidRDefault="00E4573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AF468F" w14:textId="77777777" w:rsidR="00A90AF9" w:rsidRDefault="00A90AF9" w:rsidP="00CA0814">
      <w:pPr>
        <w:spacing w:after="0" w:line="240" w:lineRule="auto"/>
      </w:pPr>
      <w:r>
        <w:separator/>
      </w:r>
    </w:p>
  </w:footnote>
  <w:footnote w:type="continuationSeparator" w:id="0">
    <w:p w14:paraId="08C3229B" w14:textId="77777777" w:rsidR="00A90AF9" w:rsidRDefault="00A90AF9" w:rsidP="00CA08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DD770" w14:textId="6AE1ECFA" w:rsidR="00CA0814" w:rsidRDefault="00000000">
    <w:pPr>
      <w:pStyle w:val="Cabealho"/>
    </w:pPr>
    <w:r>
      <w:rPr>
        <w:noProof/>
      </w:rPr>
      <w:pict w14:anchorId="784D2B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295079" o:spid="_x0000_s1046" type="#_x0000_t75" style="position:absolute;margin-left:0;margin-top:0;width:495.35pt;height:454.3pt;z-index:-251649024;mso-position-horizontal:center;mso-position-horizontal-relative:margin;mso-position-vertical:center;mso-position-vertical-relative:margin" o:allowincell="f">
          <v:imagedata r:id="rId1" o:title="Logo-Câmara 195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15803" w14:textId="43974B58" w:rsidR="00CA0814" w:rsidRDefault="00000000" w:rsidP="005576AC">
    <w:pPr>
      <w:pStyle w:val="Cabealho"/>
      <w:tabs>
        <w:tab w:val="left" w:pos="221"/>
        <w:tab w:val="left" w:pos="265"/>
      </w:tabs>
      <w:rPr>
        <w:rFonts w:ascii="Verdana" w:hAnsi="Verdana"/>
        <w:b/>
      </w:rPr>
    </w:pPr>
    <w:r>
      <w:rPr>
        <w:rFonts w:ascii="Verdana" w:hAnsi="Verdana"/>
        <w:b/>
        <w:noProof/>
        <w:sz w:val="28"/>
        <w:szCs w:val="28"/>
        <w:lang w:eastAsia="pt-BR"/>
      </w:rPr>
      <w:pict w14:anchorId="1E3235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295080" o:spid="_x0000_s1047" type="#_x0000_t75" style="position:absolute;margin-left:0;margin-top:0;width:495.35pt;height:454.3pt;z-index:-251648000;mso-position-horizontal:center;mso-position-horizontal-relative:margin;mso-position-vertical:center;mso-position-vertical-relative:margin" o:allowincell="f">
          <v:imagedata r:id="rId1" o:title="Logo-Câmara 1955" gain="19661f" blacklevel="22938f"/>
          <w10:wrap anchorx="margin" anchory="margin"/>
        </v:shape>
      </w:pict>
    </w:r>
    <w:r w:rsidR="002516F0">
      <w:rPr>
        <w:rFonts w:ascii="Verdana" w:hAnsi="Verdana"/>
        <w:b/>
        <w:noProof/>
        <w:sz w:val="28"/>
        <w:szCs w:val="28"/>
        <w:lang w:eastAsia="pt-BR"/>
      </w:rPr>
      <mc:AlternateContent>
        <mc:Choice Requires="wps">
          <w:drawing>
            <wp:anchor distT="0" distB="0" distL="114300" distR="114300" simplePos="0" relativeHeight="251661823" behindDoc="0" locked="0" layoutInCell="1" allowOverlap="1" wp14:anchorId="2D6E3AFC" wp14:editId="10178DEB">
              <wp:simplePos x="0" y="0"/>
              <wp:positionH relativeFrom="column">
                <wp:posOffset>5284470</wp:posOffset>
              </wp:positionH>
              <wp:positionV relativeFrom="paragraph">
                <wp:posOffset>-123825</wp:posOffset>
              </wp:positionV>
              <wp:extent cx="1314450" cy="1115060"/>
              <wp:effectExtent l="0" t="0" r="0" b="8890"/>
              <wp:wrapNone/>
              <wp:docPr id="7" name="Caixa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4450" cy="11150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8C1074" w14:textId="7DA879E8" w:rsidR="002516F0" w:rsidRDefault="002516F0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7DDA6ED" wp14:editId="6748951C">
                                <wp:extent cx="1120443" cy="971550"/>
                                <wp:effectExtent l="0" t="0" r="3810" b="0"/>
                                <wp:docPr id="1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25220" cy="97569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6E3AFC" id="_x0000_t202" coordsize="21600,21600" o:spt="202" path="m,l,21600r21600,l21600,xe">
              <v:stroke joinstyle="miter"/>
              <v:path gradientshapeok="t" o:connecttype="rect"/>
            </v:shapetype>
            <v:shape id="Caixa de texto 7" o:spid="_x0000_s1026" type="#_x0000_t202" style="position:absolute;margin-left:416.1pt;margin-top:-9.75pt;width:103.5pt;height:87.8pt;z-index:25166182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" fillcolor="white [3201]" stroked="f" strokeweight=".5pt">
              <v:textbox>
                <w:txbxContent>
                  <w:p w14:paraId="178C1074" w14:textId="7DA879E8" w:rsidR="002516F0" w:rsidRDefault="002516F0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17DDA6ED" wp14:editId="6748951C">
                          <wp:extent cx="1120443" cy="971550"/>
                          <wp:effectExtent l="0" t="0" r="3810" b="0"/>
                          <wp:docPr id="1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25220" cy="9756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576AC">
      <w:rPr>
        <w:rFonts w:ascii="Verdana" w:hAnsi="Verdana"/>
        <w:b/>
        <w:noProof/>
        <w:sz w:val="28"/>
        <w:szCs w:val="28"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6F39834" wp14:editId="13322BF7">
              <wp:simplePos x="0" y="0"/>
              <wp:positionH relativeFrom="column">
                <wp:posOffset>-287655</wp:posOffset>
              </wp:positionH>
              <wp:positionV relativeFrom="paragraph">
                <wp:posOffset>-94616</wp:posOffset>
              </wp:positionV>
              <wp:extent cx="1266825" cy="1115060"/>
              <wp:effectExtent l="0" t="0" r="0" b="0"/>
              <wp:wrapNone/>
              <wp:docPr id="5" name="Caixa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6825" cy="11150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6F086F" w14:textId="00D0CA5E" w:rsidR="005576AC" w:rsidRPr="005576AC" w:rsidRDefault="00532048">
                          <w:pPr>
                            <w:rPr>
                              <w:rStyle w:val="TtulodoLivro"/>
                            </w:rPr>
                          </w:pPr>
                          <w:r>
                            <w:rPr>
                              <w:rStyle w:val="TtulodoLivro"/>
                              <w:noProof/>
                            </w:rPr>
                            <w:drawing>
                              <wp:inline distT="0" distB="0" distL="0" distR="0" wp14:anchorId="04B4D056" wp14:editId="64F03A02">
                                <wp:extent cx="1076400" cy="990000"/>
                                <wp:effectExtent l="0" t="0" r="9525" b="635"/>
                                <wp:docPr id="3" name="Imagem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76400" cy="99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F39834" id="Caixa de texto 5" o:spid="_x0000_s1027" type="#_x0000_t202" style="position:absolute;margin-left:-22.65pt;margin-top:-7.45pt;width:99.75pt;height:87.8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" filled="f" stroked="f" strokeweight=".5pt">
              <v:textbox style="mso-fit-shape-to-text:t">
                <w:txbxContent>
                  <w:p w14:paraId="166F086F" w14:textId="00D0CA5E" w:rsidR="005576AC" w:rsidRPr="005576AC" w:rsidRDefault="00532048">
                    <w:pPr>
                      <w:rPr>
                        <w:rStyle w:val="TtulodoLivro"/>
                      </w:rPr>
                    </w:pPr>
                    <w:r>
                      <w:rPr>
                        <w:rStyle w:val="TtulodoLivro"/>
                        <w:noProof/>
                      </w:rPr>
                      <w:drawing>
                        <wp:inline distT="0" distB="0" distL="0" distR="0" wp14:anchorId="04B4D056" wp14:editId="64F03A02">
                          <wp:extent cx="1076400" cy="990000"/>
                          <wp:effectExtent l="0" t="0" r="9525" b="635"/>
                          <wp:docPr id="3" name="Imagem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76400" cy="99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A0814">
      <w:t xml:space="preserve">          </w:t>
    </w:r>
  </w:p>
  <w:p w14:paraId="6B8AF6E1" w14:textId="29EFB2D8" w:rsidR="005576AC" w:rsidRPr="002516F0" w:rsidRDefault="00DA1BEE" w:rsidP="002516F0">
    <w:pPr>
      <w:pStyle w:val="Cabealho"/>
      <w:ind w:left="-142"/>
      <w:jc w:val="center"/>
      <w:rPr>
        <w:rFonts w:ascii="Verdana" w:hAnsi="Verdana" w:cs="Arial"/>
        <w:b/>
        <w:sz w:val="28"/>
        <w:szCs w:val="28"/>
      </w:rPr>
    </w:pPr>
    <w:r>
      <w:rPr>
        <w:rFonts w:ascii="Verdana" w:hAnsi="Verdana" w:cs="Arial"/>
        <w:b/>
        <w:sz w:val="28"/>
        <w:szCs w:val="28"/>
      </w:rPr>
      <w:t>CÂMARA MUNICIPAL DE LASSANCE</w:t>
    </w:r>
  </w:p>
  <w:p w14:paraId="43E8B551" w14:textId="5EA16E57" w:rsidR="005576AC" w:rsidRPr="00DA1BEE" w:rsidRDefault="00DA1BEE" w:rsidP="002516F0">
    <w:pPr>
      <w:pStyle w:val="Cabealho"/>
      <w:ind w:left="-142"/>
      <w:jc w:val="center"/>
      <w:rPr>
        <w:rFonts w:ascii="Arial" w:hAnsi="Arial" w:cs="Arial"/>
        <w:b/>
        <w:sz w:val="24"/>
        <w:szCs w:val="24"/>
      </w:rPr>
    </w:pPr>
    <w:r w:rsidRPr="00DA1BEE">
      <w:rPr>
        <w:rFonts w:ascii="Arial" w:hAnsi="Arial" w:cs="Arial"/>
        <w:b/>
        <w:sz w:val="24"/>
        <w:szCs w:val="24"/>
      </w:rPr>
      <w:t>ESTADO DE MINAS GERAIS</w:t>
    </w:r>
  </w:p>
  <w:p w14:paraId="5180C0F6" w14:textId="1BC42FFA" w:rsidR="005576AC" w:rsidRPr="00DA1BEE" w:rsidRDefault="005576AC" w:rsidP="002516F0">
    <w:pPr>
      <w:pStyle w:val="Cabealho"/>
      <w:ind w:left="-142"/>
      <w:jc w:val="center"/>
      <w:rPr>
        <w:rFonts w:ascii="Arial" w:hAnsi="Arial" w:cs="Arial"/>
        <w:b/>
        <w:sz w:val="24"/>
        <w:szCs w:val="24"/>
      </w:rPr>
    </w:pPr>
    <w:r w:rsidRPr="00DA1BEE">
      <w:rPr>
        <w:rFonts w:ascii="Arial" w:hAnsi="Arial" w:cs="Arial"/>
        <w:b/>
        <w:sz w:val="24"/>
        <w:szCs w:val="24"/>
      </w:rPr>
      <w:t>CNPJ: 21.366.026/0001-28</w:t>
    </w:r>
  </w:p>
  <w:p w14:paraId="639A34BE" w14:textId="3F92EA24" w:rsidR="00CA0814" w:rsidRPr="005576AC" w:rsidRDefault="00CA0814" w:rsidP="002516F0">
    <w:pPr>
      <w:pStyle w:val="Cabealho"/>
      <w:ind w:left="-1134"/>
      <w:jc w:val="center"/>
      <w:rPr>
        <w:rFonts w:ascii="Arial" w:hAnsi="Arial" w:cs="Arial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BE1FF" w14:textId="269AEB03" w:rsidR="00CA0814" w:rsidRDefault="00000000">
    <w:pPr>
      <w:pStyle w:val="Cabealho"/>
    </w:pPr>
    <w:r>
      <w:rPr>
        <w:noProof/>
      </w:rPr>
      <w:pict w14:anchorId="2036A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295078" o:spid="_x0000_s1045" type="#_x0000_t75" style="position:absolute;margin-left:0;margin-top:0;width:495.35pt;height:454.3pt;z-index:-251650048;mso-position-horizontal:center;mso-position-horizontal-relative:margin;mso-position-vertical:center;mso-position-vertical-relative:margin" o:allowincell="f">
          <v:imagedata r:id="rId1" o:title="Logo-Câmara 195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D1A32"/>
    <w:multiLevelType w:val="hybridMultilevel"/>
    <w:tmpl w:val="24203A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91937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814"/>
    <w:rsid w:val="0001157F"/>
    <w:rsid w:val="00041B8C"/>
    <w:rsid w:val="0009368C"/>
    <w:rsid w:val="000B07DC"/>
    <w:rsid w:val="000B3372"/>
    <w:rsid w:val="000E50B7"/>
    <w:rsid w:val="000F641F"/>
    <w:rsid w:val="0010400A"/>
    <w:rsid w:val="0018007C"/>
    <w:rsid w:val="00185420"/>
    <w:rsid w:val="001A0303"/>
    <w:rsid w:val="001B1300"/>
    <w:rsid w:val="001C195D"/>
    <w:rsid w:val="001C5798"/>
    <w:rsid w:val="001F3B0F"/>
    <w:rsid w:val="00204D45"/>
    <w:rsid w:val="00210BEA"/>
    <w:rsid w:val="0021237B"/>
    <w:rsid w:val="00222215"/>
    <w:rsid w:val="002516F0"/>
    <w:rsid w:val="00274B43"/>
    <w:rsid w:val="002A211D"/>
    <w:rsid w:val="002C1F7E"/>
    <w:rsid w:val="002C7B2C"/>
    <w:rsid w:val="002D3A99"/>
    <w:rsid w:val="00315C9B"/>
    <w:rsid w:val="00322921"/>
    <w:rsid w:val="00330AAD"/>
    <w:rsid w:val="003502BF"/>
    <w:rsid w:val="00376785"/>
    <w:rsid w:val="00385879"/>
    <w:rsid w:val="003950F1"/>
    <w:rsid w:val="003B3F83"/>
    <w:rsid w:val="003E6BC6"/>
    <w:rsid w:val="00401E49"/>
    <w:rsid w:val="0042674D"/>
    <w:rsid w:val="0042703F"/>
    <w:rsid w:val="004549E2"/>
    <w:rsid w:val="004C2E7D"/>
    <w:rsid w:val="00532048"/>
    <w:rsid w:val="005359DC"/>
    <w:rsid w:val="005576AC"/>
    <w:rsid w:val="005630EA"/>
    <w:rsid w:val="00580DAC"/>
    <w:rsid w:val="00583C8B"/>
    <w:rsid w:val="005D6712"/>
    <w:rsid w:val="00677712"/>
    <w:rsid w:val="006918E1"/>
    <w:rsid w:val="006C2B43"/>
    <w:rsid w:val="006E1EF6"/>
    <w:rsid w:val="006E4220"/>
    <w:rsid w:val="00703DA8"/>
    <w:rsid w:val="007056E0"/>
    <w:rsid w:val="00713EEA"/>
    <w:rsid w:val="00714D05"/>
    <w:rsid w:val="00734B53"/>
    <w:rsid w:val="00743450"/>
    <w:rsid w:val="007760A2"/>
    <w:rsid w:val="007D2935"/>
    <w:rsid w:val="007E6ED4"/>
    <w:rsid w:val="007E77BC"/>
    <w:rsid w:val="0081038B"/>
    <w:rsid w:val="00814B02"/>
    <w:rsid w:val="00816E8A"/>
    <w:rsid w:val="00821DAF"/>
    <w:rsid w:val="00825A50"/>
    <w:rsid w:val="008315FA"/>
    <w:rsid w:val="008333A6"/>
    <w:rsid w:val="00891309"/>
    <w:rsid w:val="008A42EA"/>
    <w:rsid w:val="008E28C0"/>
    <w:rsid w:val="00900777"/>
    <w:rsid w:val="009131D9"/>
    <w:rsid w:val="009571E5"/>
    <w:rsid w:val="009A6E7F"/>
    <w:rsid w:val="009E4ED9"/>
    <w:rsid w:val="00A25777"/>
    <w:rsid w:val="00A85461"/>
    <w:rsid w:val="00A86B7C"/>
    <w:rsid w:val="00A90AF9"/>
    <w:rsid w:val="00A93C30"/>
    <w:rsid w:val="00AC286D"/>
    <w:rsid w:val="00AF441E"/>
    <w:rsid w:val="00B0687D"/>
    <w:rsid w:val="00B47230"/>
    <w:rsid w:val="00B82A69"/>
    <w:rsid w:val="00BF43B9"/>
    <w:rsid w:val="00C50125"/>
    <w:rsid w:val="00C54772"/>
    <w:rsid w:val="00C57D90"/>
    <w:rsid w:val="00CA0814"/>
    <w:rsid w:val="00CA55E4"/>
    <w:rsid w:val="00CD62B3"/>
    <w:rsid w:val="00CF083D"/>
    <w:rsid w:val="00CF3DA7"/>
    <w:rsid w:val="00CF7B87"/>
    <w:rsid w:val="00D05A93"/>
    <w:rsid w:val="00D410EC"/>
    <w:rsid w:val="00D64FE5"/>
    <w:rsid w:val="00DA17E3"/>
    <w:rsid w:val="00DA1BEE"/>
    <w:rsid w:val="00DD3DF4"/>
    <w:rsid w:val="00DE7D96"/>
    <w:rsid w:val="00DF102A"/>
    <w:rsid w:val="00E45730"/>
    <w:rsid w:val="00E56D61"/>
    <w:rsid w:val="00E657AC"/>
    <w:rsid w:val="00E74B00"/>
    <w:rsid w:val="00E819A7"/>
    <w:rsid w:val="00EB4809"/>
    <w:rsid w:val="00EC351E"/>
    <w:rsid w:val="00ED705D"/>
    <w:rsid w:val="00EF54E1"/>
    <w:rsid w:val="00F05217"/>
    <w:rsid w:val="00F20552"/>
    <w:rsid w:val="00F52048"/>
    <w:rsid w:val="00F82788"/>
    <w:rsid w:val="00F91AE4"/>
    <w:rsid w:val="00FB51D2"/>
    <w:rsid w:val="00FC656B"/>
    <w:rsid w:val="00FD76DC"/>
    <w:rsid w:val="00FE6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B0B591"/>
  <w15:docId w15:val="{481E44EC-F5DB-4C26-99CF-897B5581E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A08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A0814"/>
  </w:style>
  <w:style w:type="paragraph" w:styleId="Rodap">
    <w:name w:val="footer"/>
    <w:basedOn w:val="Normal"/>
    <w:link w:val="RodapChar"/>
    <w:uiPriority w:val="99"/>
    <w:unhideWhenUsed/>
    <w:rsid w:val="00CA08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A0814"/>
  </w:style>
  <w:style w:type="paragraph" w:styleId="Textodebalo">
    <w:name w:val="Balloon Text"/>
    <w:basedOn w:val="Normal"/>
    <w:link w:val="TextodebaloChar"/>
    <w:uiPriority w:val="99"/>
    <w:semiHidden/>
    <w:unhideWhenUsed/>
    <w:rsid w:val="00CA0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A0814"/>
    <w:rPr>
      <w:rFonts w:ascii="Tahoma" w:hAnsi="Tahoma" w:cs="Tahoma"/>
      <w:sz w:val="16"/>
      <w:szCs w:val="16"/>
    </w:rPr>
  </w:style>
  <w:style w:type="character" w:styleId="TtulodoLivro">
    <w:name w:val="Book Title"/>
    <w:basedOn w:val="Fontepargpadro"/>
    <w:uiPriority w:val="33"/>
    <w:qFormat/>
    <w:rsid w:val="005576AC"/>
    <w:rPr>
      <w:b/>
      <w:bCs/>
      <w:smallCaps/>
      <w:spacing w:val="5"/>
    </w:rPr>
  </w:style>
  <w:style w:type="table" w:styleId="Tabelacomgrade">
    <w:name w:val="Table Grid"/>
    <w:basedOn w:val="Tabelanormal"/>
    <w:uiPriority w:val="59"/>
    <w:unhideWhenUsed/>
    <w:rsid w:val="001C57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D3A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D3A99"/>
  </w:style>
  <w:style w:type="paragraph" w:styleId="NormalWeb">
    <w:name w:val="Normal (Web)"/>
    <w:basedOn w:val="Normal"/>
    <w:uiPriority w:val="99"/>
    <w:unhideWhenUsed/>
    <w:rsid w:val="00D41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410E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410E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semiHidden/>
    <w:unhideWhenUsed/>
    <w:rsid w:val="00210B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01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90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498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591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9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rtaldatransparencia.gov.br/ceis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ortaldoempreendedor.gov.br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9256C0-27FE-456A-B6C6-02F6B3FDB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2247</Words>
  <Characters>12138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Servidor</dc:creator>
  <cp:lastModifiedBy>Luciene Soares</cp:lastModifiedBy>
  <cp:revision>2</cp:revision>
  <cp:lastPrinted>2025-01-17T13:11:00Z</cp:lastPrinted>
  <dcterms:created xsi:type="dcterms:W3CDTF">2025-01-17T13:14:00Z</dcterms:created>
  <dcterms:modified xsi:type="dcterms:W3CDTF">2025-01-17T13:14:00Z</dcterms:modified>
</cp:coreProperties>
</file>